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219433</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 France</w:t>
      </w:r>
      <w:bookmarkStart w:id="1" w:name="_GoBack"/>
      <w:bookmarkEnd w:id="1"/>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14 </w:t>
      </w:r>
      <w:r>
        <w:rPr>
          <w:rFonts w:ascii="Arial" w:hAnsi="Arial" w:cs="Arial"/>
          <w:b/>
          <w:bCs/>
          <w:sz w:val="24"/>
          <w:szCs w:val="24"/>
        </w:rPr>
        <w:t>–</w:t>
      </w:r>
      <w:r>
        <w:rPr>
          <w:rFonts w:hint="eastAsia" w:ascii="Arial" w:hAnsi="Arial" w:eastAsia="宋体" w:cs="Arial"/>
          <w:b/>
          <w:bCs/>
          <w:sz w:val="24"/>
          <w:szCs w:val="24"/>
          <w:lang w:val="en-US" w:eastAsia="zh-CN"/>
        </w:rPr>
        <w:t xml:space="preserve"> 18</w:t>
      </w:r>
      <w:r>
        <w:rPr>
          <w:rFonts w:ascii="Arial" w:hAnsi="Arial" w:cs="Arial"/>
          <w:b/>
          <w:bCs/>
          <w:sz w:val="24"/>
          <w:szCs w:val="24"/>
        </w:rPr>
        <w:t xml:space="preserve"> </w:t>
      </w:r>
      <w:r>
        <w:rPr>
          <w:rFonts w:hint="eastAsia" w:ascii="Arial" w:hAnsi="Arial" w:eastAsia="宋体" w:cs="Arial"/>
          <w:b/>
          <w:bCs/>
          <w:sz w:val="24"/>
          <w:szCs w:val="24"/>
          <w:lang w:val="en-US" w:eastAsia="zh-CN"/>
        </w:rPr>
        <w:t>Nov</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requirements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8.13.4.5</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to study the air-to-ground for NR. The objective of this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Cs/>
                <w:lang w:eastAsia="zh-CN"/>
              </w:rPr>
            </w:pPr>
            <w:r>
              <w:rPr>
                <w:rFonts w:hint="eastAsia"/>
                <w:bCs/>
                <w:lang w:eastAsia="zh-CN"/>
              </w:rPr>
              <w:t>T</w:t>
            </w:r>
            <w:r>
              <w:rPr>
                <w:bCs/>
                <w:lang w:eastAsia="zh-CN"/>
              </w:rPr>
              <w:t>he core part of this work item includes</w:t>
            </w:r>
          </w:p>
          <w:p>
            <w:pPr>
              <w:widowControl w:val="0"/>
              <w:numPr>
                <w:ilvl w:val="0"/>
                <w:numId w:val="4"/>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4"/>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4"/>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RRM core requirements for ATG UE</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4"/>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2"/>
                <w:sz w:val="20"/>
                <w:szCs w:val="24"/>
                <w:lang w:val="en-US" w:eastAsia="zh-CN" w:bidi="ar-SA"/>
              </w:rPr>
              <w:t>Specify new UE/BS type(s) for ATG network if necessary</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were achieved in [2] around the measurement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sz w:val="20"/>
                <w:szCs w:val="20"/>
                <w:u w:val="single"/>
                <w:lang w:eastAsia="ko-KR"/>
              </w:rPr>
            </w:pPr>
            <w:r>
              <w:rPr>
                <w:b/>
                <w:sz w:val="20"/>
                <w:szCs w:val="20"/>
                <w:u w:val="single"/>
                <w:lang w:eastAsia="ko-KR"/>
              </w:rPr>
              <w:t>Issue 5-1-2: Measurement capability</w:t>
            </w:r>
          </w:p>
          <w:p>
            <w:pPr>
              <w:numPr>
                <w:ilvl w:val="0"/>
                <w:numId w:val="5"/>
              </w:numPr>
              <w:ind w:left="935" w:hanging="357"/>
              <w:rPr>
                <w:rFonts w:eastAsia="宋体"/>
                <w:sz w:val="20"/>
                <w:szCs w:val="20"/>
              </w:rPr>
            </w:pPr>
            <w:r>
              <w:rPr>
                <w:rFonts w:eastAsia="宋体"/>
                <w:sz w:val="20"/>
                <w:szCs w:val="20"/>
              </w:rPr>
              <w:t xml:space="preserve">Reuse the legacy measurement capability of Monitoring of multiple layers using gap for R18 ATG. </w:t>
            </w:r>
          </w:p>
          <w:p>
            <w:pPr>
              <w:numPr>
                <w:ilvl w:val="0"/>
                <w:numId w:val="5"/>
              </w:numPr>
              <w:ind w:left="935" w:hanging="357"/>
              <w:rPr>
                <w:rFonts w:eastAsia="宋体"/>
                <w:sz w:val="20"/>
                <w:szCs w:val="20"/>
              </w:rPr>
            </w:pPr>
            <w:r>
              <w:rPr>
                <w:rFonts w:eastAsia="宋体"/>
                <w:sz w:val="20"/>
                <w:szCs w:val="20"/>
              </w:rPr>
              <w:t>For measurement capability of maximum allowed layers for multiple monitoring, reuse the current legacy intra and inter frequency measurement capability as the baseline. the total number of effective carrier frequency layers that UE shall be capable of monitoring update to 8.</w:t>
            </w:r>
          </w:p>
          <w:p>
            <w:pPr>
              <w:numPr>
                <w:ilvl w:val="0"/>
                <w:numId w:val="5"/>
              </w:numPr>
              <w:ind w:left="935" w:hanging="357"/>
              <w:rPr>
                <w:rFonts w:eastAsia="宋体"/>
                <w:sz w:val="20"/>
                <w:szCs w:val="20"/>
              </w:rPr>
            </w:pPr>
            <w:r>
              <w:rPr>
                <w:rFonts w:eastAsia="宋体"/>
                <w:sz w:val="20"/>
                <w:szCs w:val="20"/>
              </w:rPr>
              <w:t>The agreements can be further checked after the scenario becomes clearer in RF session</w:t>
            </w:r>
          </w:p>
          <w:p>
            <w:pPr>
              <w:rPr>
                <w:rFonts w:eastAsia="Malgun Gothic"/>
                <w:b/>
                <w:sz w:val="20"/>
                <w:szCs w:val="20"/>
                <w:u w:val="single"/>
                <w:lang w:eastAsia="ko-KR"/>
              </w:rPr>
            </w:pPr>
            <w:r>
              <w:rPr>
                <w:rFonts w:eastAsia="Malgun Gothic"/>
                <w:b/>
                <w:sz w:val="20"/>
                <w:szCs w:val="20"/>
                <w:u w:val="single"/>
                <w:lang w:eastAsia="ko-KR"/>
              </w:rPr>
              <w:t>Issue 5-1-7: L1-RSRP measurement for a cell with different PCI from serving cell</w:t>
            </w:r>
          </w:p>
          <w:p>
            <w:pPr>
              <w:numPr>
                <w:ilvl w:val="0"/>
                <w:numId w:val="5"/>
              </w:numPr>
              <w:ind w:left="935" w:hanging="357"/>
              <w:rPr>
                <w:rFonts w:eastAsia="宋体"/>
                <w:sz w:val="20"/>
                <w:szCs w:val="20"/>
              </w:rPr>
            </w:pPr>
            <w:r>
              <w:rPr>
                <w:rFonts w:eastAsia="宋体"/>
                <w:sz w:val="20"/>
                <w:szCs w:val="20"/>
              </w:rPr>
              <w:t>Don’t consider L1-RSRP measurement for a cell with different PCI from serving cell in R18 ATG</w:t>
            </w:r>
          </w:p>
          <w:p>
            <w:pPr>
              <w:rPr>
                <w:rFonts w:eastAsia="Malgun Gothic"/>
                <w:b/>
                <w:sz w:val="20"/>
                <w:szCs w:val="20"/>
                <w:u w:val="single"/>
                <w:lang w:eastAsia="ko-KR"/>
              </w:rPr>
            </w:pPr>
            <w:r>
              <w:rPr>
                <w:rFonts w:eastAsia="Malgun Gothic"/>
                <w:b/>
                <w:sz w:val="20"/>
                <w:szCs w:val="20"/>
                <w:u w:val="single"/>
                <w:lang w:eastAsia="ko-KR"/>
              </w:rPr>
              <w:t>Issue 5-1-8: NR measurements with autonomous gaps</w:t>
            </w:r>
          </w:p>
          <w:p>
            <w:pPr>
              <w:numPr>
                <w:ilvl w:val="0"/>
                <w:numId w:val="5"/>
              </w:numPr>
              <w:ind w:left="935" w:hanging="357"/>
              <w:rPr>
                <w:rFonts w:eastAsia="宋体"/>
                <w:sz w:val="20"/>
                <w:szCs w:val="20"/>
              </w:rPr>
            </w:pPr>
            <w:r>
              <w:rPr>
                <w:rFonts w:eastAsia="宋体"/>
                <w:sz w:val="20"/>
                <w:szCs w:val="20"/>
              </w:rPr>
              <w:t xml:space="preserve">Reuse the legacy delay requirement for NR measurements with autonomous gaps for R18 ATG.  </w:t>
            </w:r>
          </w:p>
          <w:p>
            <w:pPr>
              <w:rPr>
                <w:rFonts w:eastAsia="Malgun Gothic"/>
                <w:b/>
                <w:sz w:val="20"/>
                <w:szCs w:val="20"/>
                <w:u w:val="single"/>
                <w:lang w:eastAsia="ko-KR"/>
              </w:rPr>
            </w:pPr>
            <w:r>
              <w:rPr>
                <w:rFonts w:eastAsia="Malgun Gothic"/>
                <w:b/>
                <w:sz w:val="20"/>
                <w:szCs w:val="20"/>
                <w:u w:val="single"/>
                <w:lang w:eastAsia="ko-KR"/>
              </w:rPr>
              <w:t>Issue 5-1-9: positioning measurement</w:t>
            </w:r>
          </w:p>
          <w:p>
            <w:pPr>
              <w:pStyle w:val="28"/>
              <w:numPr>
                <w:ilvl w:val="0"/>
                <w:numId w:val="5"/>
              </w:numPr>
              <w:spacing w:after="120"/>
              <w:ind w:firstLineChars="0"/>
              <w:rPr>
                <w:rFonts w:hint="eastAsia" w:eastAsia="宋体"/>
                <w:color w:val="auto"/>
                <w:sz w:val="20"/>
                <w:szCs w:val="20"/>
                <w:vertAlign w:val="baseline"/>
                <w:lang w:val="en-US" w:eastAsia="zh-CN"/>
              </w:rPr>
            </w:pPr>
            <w:r>
              <w:rPr>
                <w:rFonts w:eastAsia="宋体" w:cs="Times New Roman"/>
                <w:sz w:val="20"/>
                <w:szCs w:val="20"/>
              </w:rPr>
              <w:t xml:space="preserve">No need to consider positioning measurement for ATG. </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further analysis on measurement requirementsof ATG based on the multiple new characteristics of ATG compared with traditional fully ground based systems.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the following key points should be noted:</w:t>
      </w:r>
    </w:p>
    <w:p>
      <w:pPr>
        <w:numPr>
          <w:ilvl w:val="0"/>
          <w:numId w:val="6"/>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6"/>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6"/>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6"/>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6"/>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6"/>
        </w:numPr>
        <w:ind w:left="420" w:leftChars="0" w:hanging="420" w:firstLineChars="0"/>
        <w:rPr>
          <w:rFonts w:hint="default"/>
          <w:lang w:val="en-US" w:eastAsia="zh-CN"/>
        </w:rPr>
      </w:pPr>
      <w:r>
        <w:rPr>
          <w:rFonts w:hint="eastAsia"/>
          <w:lang w:val="en-US" w:eastAsia="zh-CN"/>
        </w:rPr>
        <w:t>Height of CPE: 3km--12km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Intra/inter-frequency measurement</w:t>
      </w:r>
    </w:p>
    <w:p>
      <w:pPr>
        <w:pStyle w:val="4"/>
        <w:jc w:val="both"/>
        <w:rPr>
          <w:rFonts w:hint="default" w:eastAsia="宋体"/>
          <w:color w:val="auto"/>
          <w:sz w:val="20"/>
          <w:szCs w:val="20"/>
          <w:lang w:val="en-US" w:eastAsia="zh-CN"/>
        </w:rPr>
      </w:pPr>
      <w:r>
        <w:rPr>
          <w:rFonts w:hint="eastAsia" w:eastAsia="宋体"/>
          <w:color w:val="auto"/>
          <w:sz w:val="20"/>
          <w:szCs w:val="20"/>
          <w:lang w:val="en-US" w:eastAsia="zh-CN"/>
        </w:rPr>
        <w:t>We believe legacy intra/inter-frequency measurement can be baseline for ATG CPE, since only single carrier case should be considered, so only FR1 MG is needed. Further more, referring to CSSF, since not any SCCs, PSCell, deactivated SCell need to be considered, so the CSSF under RedCap single carrier case can be a reference.</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Legacy intra/inter-frequency measurement can be baseline for ATG CEP. For CSSF, the CSSF under RedCap single carrier case can be a reference.</w:t>
      </w:r>
    </w:p>
    <w:p>
      <w:pPr>
        <w:pStyle w:val="4"/>
        <w:jc w:val="both"/>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Measurement gap</w:t>
      </w:r>
    </w:p>
    <w:p>
      <w:pPr>
        <w:pStyle w:val="4"/>
        <w:jc w:val="both"/>
        <w:rPr>
          <w:rFonts w:hint="eastAsia" w:eastAsia="宋体"/>
          <w:color w:val="auto"/>
          <w:sz w:val="20"/>
          <w:szCs w:val="20"/>
          <w:lang w:val="en-US" w:eastAsia="zh-CN"/>
        </w:rPr>
      </w:pPr>
      <w:r>
        <w:rPr>
          <w:rFonts w:hint="eastAsia" w:eastAsia="宋体"/>
          <w:color w:val="auto"/>
          <w:sz w:val="20"/>
          <w:szCs w:val="20"/>
          <w:lang w:val="en-US" w:eastAsia="zh-CN"/>
        </w:rPr>
        <w:t>Since intra/inter-frequency measurement with gap is applicable and possible, so the configuration of measurement gap is necessary. Considering only some of bands in FR1 is applicable for ATG, so we believe only FR1 MG will be used in Rel-18 ATG network. Regarding to the requirements of measurement gap, reuse the legacy requirement is fine.</w:t>
      </w:r>
    </w:p>
    <w:p>
      <w:pPr>
        <w:pStyle w:val="4"/>
        <w:numPr>
          <w:ilvl w:val="0"/>
          <w:numId w:val="0"/>
        </w:numPr>
        <w:ind w:leftChars="0"/>
        <w:jc w:val="both"/>
        <w:rPr>
          <w:rFonts w:hint="default" w:eastAsia="宋体"/>
          <w:color w:val="auto"/>
          <w:sz w:val="20"/>
          <w:szCs w:val="20"/>
          <w:highlight w:val="none"/>
          <w:u w:val="single"/>
          <w:lang w:val="en-US" w:eastAsia="zh-CN"/>
        </w:rPr>
      </w:pPr>
      <w:r>
        <w:rPr>
          <w:rFonts w:hint="eastAsia" w:eastAsia="宋体" w:cs="Times New Roman"/>
          <w:b/>
          <w:bCs/>
          <w:color w:val="auto"/>
          <w:sz w:val="20"/>
          <w:szCs w:val="20"/>
          <w:highlight w:val="none"/>
          <w:lang w:val="en-US" w:eastAsia="zh-CN" w:bidi="ar-SA"/>
        </w:rPr>
        <w:t>Proposal 2: only FR1 MG will be used in Rel-18 ATG network. Reusing the legacy requirement is fine.</w:t>
      </w:r>
    </w:p>
    <w:p>
      <w:pPr>
        <w:pStyle w:val="4"/>
        <w:jc w:val="both"/>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Pre-configured measurement gap</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We can not see the necessity of supporting pre-configured measurement gap for ATG network. Pre-configured measurement gap is some optimization with the dynamic or semi-static activation/deactivation mechanism. So in our opinion, for the case in which the active BWP would frequently update or the MO would be re-configured frequently, pre-configured measurement gap is very useful since of which would avoid the unnecessary interruption even UE can perform measurement without gap. But ATG is not any one of the cases, so we do not believe pre-configured measurement gap should be introduced to ATG network. </w:t>
      </w:r>
    </w:p>
    <w:p>
      <w:pPr>
        <w:pStyle w:val="4"/>
        <w:numPr>
          <w:ilvl w:val="0"/>
          <w:numId w:val="0"/>
        </w:numPr>
        <w:ind w:leftChars="0"/>
        <w:jc w:val="both"/>
        <w:rPr>
          <w:rFonts w:hint="default" w:eastAsia="宋体"/>
          <w:color w:val="auto"/>
          <w:sz w:val="20"/>
          <w:szCs w:val="20"/>
          <w:highlight w:val="none"/>
          <w:u w:val="single"/>
          <w:lang w:val="en-US" w:eastAsia="zh-CN"/>
        </w:rPr>
      </w:pPr>
      <w:r>
        <w:rPr>
          <w:rFonts w:hint="eastAsia" w:eastAsia="宋体" w:cs="Times New Roman"/>
          <w:b/>
          <w:bCs/>
          <w:color w:val="auto"/>
          <w:sz w:val="20"/>
          <w:szCs w:val="20"/>
          <w:highlight w:val="none"/>
          <w:lang w:val="en-US" w:eastAsia="zh-CN" w:bidi="ar-SA"/>
        </w:rPr>
        <w:t xml:space="preserve">Proposal 3: We do not believe pre-configured measurement gap should be introduced to ATG network.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measurement requirements for ATG system</w:t>
      </w:r>
      <w:r>
        <w:rPr>
          <w:rFonts w:eastAsia="宋体"/>
          <w:bCs/>
          <w:color w:val="auto"/>
          <w:sz w:val="20"/>
          <w:szCs w:val="20"/>
          <w:lang w:val="en-GB" w:eastAsia="zh-CN"/>
        </w:rPr>
        <w:t>:</w:t>
      </w:r>
    </w:p>
    <w:p>
      <w:pPr>
        <w:pStyle w:val="4"/>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Legacy intra/inter-frequency measurement can be baseline for ATG CEP. For CSSF, the CSSF under RedCap single carrier case can be a reference.</w:t>
      </w:r>
    </w:p>
    <w:p>
      <w:pPr>
        <w:pStyle w:val="4"/>
        <w:numPr>
          <w:ilvl w:val="0"/>
          <w:numId w:val="0"/>
        </w:numPr>
        <w:ind w:leftChars="0"/>
        <w:jc w:val="both"/>
        <w:rPr>
          <w:rFonts w:hint="default" w:eastAsia="宋体"/>
          <w:color w:val="auto"/>
          <w:sz w:val="20"/>
          <w:szCs w:val="20"/>
          <w:highlight w:val="none"/>
          <w:u w:val="single"/>
          <w:lang w:val="en-US" w:eastAsia="zh-CN"/>
        </w:rPr>
      </w:pPr>
      <w:r>
        <w:rPr>
          <w:rFonts w:hint="eastAsia" w:eastAsia="宋体" w:cs="Times New Roman"/>
          <w:b/>
          <w:bCs/>
          <w:color w:val="auto"/>
          <w:sz w:val="20"/>
          <w:szCs w:val="20"/>
          <w:highlight w:val="none"/>
          <w:lang w:val="en-US" w:eastAsia="zh-CN" w:bidi="ar-SA"/>
        </w:rPr>
        <w:t>Proposal 2: only FR1 MG will be used in Rel-18 ATG network. Reusing the legacy requirement is fine.</w:t>
      </w:r>
    </w:p>
    <w:p>
      <w:pPr>
        <w:pStyle w:val="4"/>
        <w:numPr>
          <w:ilvl w:val="0"/>
          <w:numId w:val="0"/>
        </w:numPr>
        <w:ind w:leftChars="0"/>
        <w:jc w:val="both"/>
        <w:rPr>
          <w:rFonts w:hint="default" w:eastAsia="宋体"/>
          <w:color w:val="auto"/>
          <w:sz w:val="20"/>
          <w:szCs w:val="20"/>
          <w:highlight w:val="none"/>
          <w:u w:val="single"/>
          <w:lang w:val="en-US" w:eastAsia="zh-CN"/>
        </w:rPr>
      </w:pPr>
      <w:r>
        <w:rPr>
          <w:rFonts w:hint="eastAsia" w:eastAsia="宋体" w:cs="Times New Roman"/>
          <w:b/>
          <w:bCs/>
          <w:color w:val="auto"/>
          <w:sz w:val="20"/>
          <w:szCs w:val="20"/>
          <w:highlight w:val="none"/>
          <w:lang w:val="en-US" w:eastAsia="zh-CN" w:bidi="ar-SA"/>
        </w:rPr>
        <w:t xml:space="preserve">Proposal 3: We do not believe pre-configured measurement gap should be introduced to ATG network.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1369</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on Air-to-ground network for NR</w:t>
      </w:r>
      <w:r>
        <w:rPr>
          <w:rFonts w:hint="default"/>
          <w:color w:val="auto"/>
          <w:highlight w:val="none"/>
          <w:lang w:val="en-US" w:eastAsia="zh-CN"/>
        </w:rPr>
        <w:t>”</w:t>
      </w:r>
      <w:r>
        <w:rPr>
          <w:rFonts w:hint="eastAsia"/>
          <w:color w:val="auto"/>
          <w:highlight w:val="none"/>
          <w:lang w:val="en-US" w:eastAsia="zh-CN"/>
        </w:rPr>
        <w:t xml:space="preserve">, CMCC </w:t>
      </w:r>
    </w:p>
    <w:p>
      <w:pPr>
        <w:pStyle w:val="9"/>
        <w:numPr>
          <w:ilvl w:val="0"/>
          <w:numId w:val="0"/>
        </w:numPr>
        <w:ind w:leftChars="0"/>
        <w:rPr>
          <w:rFonts w:hint="default" w:eastAsia="宋体"/>
          <w:color w:val="auto"/>
          <w:lang w:val="en-US" w:eastAsia="zh-CN"/>
        </w:rPr>
      </w:pPr>
      <w:r>
        <w:rPr>
          <w:rFonts w:hint="eastAsia"/>
          <w:color w:val="auto"/>
          <w:lang w:val="en-US" w:eastAsia="zh-CN"/>
        </w:rPr>
        <w:t xml:space="preserve">[2] RP-2217256 </w:t>
      </w:r>
      <w:r>
        <w:rPr>
          <w:rFonts w:hint="default"/>
          <w:color w:val="auto"/>
          <w:lang w:val="en-US" w:eastAsia="zh-CN"/>
        </w:rPr>
        <w:t>“</w:t>
      </w:r>
      <w:bookmarkStart w:id="0" w:name="_Hlk41145953"/>
      <w:r>
        <w:rPr>
          <w:rFonts w:hint="default"/>
          <w:color w:val="auto"/>
          <w:lang w:val="en-US" w:eastAsia="zh-CN"/>
        </w:rPr>
        <w:t>WF on NR ATG RRM</w:t>
      </w:r>
      <w:bookmarkEnd w:id="0"/>
      <w:r>
        <w:rPr>
          <w:rFonts w:hint="default"/>
          <w:color w:val="auto"/>
          <w:lang w:val="en-US" w:eastAsia="zh-CN"/>
        </w:rPr>
        <w:t xml:space="preserve"> core requirements”</w:t>
      </w:r>
      <w:r>
        <w:rPr>
          <w:rFonts w:hint="eastAsia"/>
          <w:color w:val="auto"/>
          <w:lang w:val="en-US" w:eastAsia="zh-CN"/>
        </w:rPr>
        <w:t>, CMCC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1"/>
  </w:num>
  <w:num w:numId="4">
    <w:abstractNumId w:val="2"/>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000747"/>
    <w:rsid w:val="05317828"/>
    <w:rsid w:val="05477E90"/>
    <w:rsid w:val="05BB5AB9"/>
    <w:rsid w:val="05C42923"/>
    <w:rsid w:val="06226EA6"/>
    <w:rsid w:val="06963BA6"/>
    <w:rsid w:val="07CD3CDD"/>
    <w:rsid w:val="083E6EA0"/>
    <w:rsid w:val="0855671D"/>
    <w:rsid w:val="089009EB"/>
    <w:rsid w:val="08EA2407"/>
    <w:rsid w:val="09716BCA"/>
    <w:rsid w:val="09D64B23"/>
    <w:rsid w:val="09E644B8"/>
    <w:rsid w:val="0A867423"/>
    <w:rsid w:val="0AB155C2"/>
    <w:rsid w:val="0B12013A"/>
    <w:rsid w:val="0B3D3C2F"/>
    <w:rsid w:val="0BB0429A"/>
    <w:rsid w:val="0BDD6CEC"/>
    <w:rsid w:val="0BFF5FC6"/>
    <w:rsid w:val="0C394019"/>
    <w:rsid w:val="0CD05342"/>
    <w:rsid w:val="0CDB4E5B"/>
    <w:rsid w:val="0DEE745F"/>
    <w:rsid w:val="0FAD3D1E"/>
    <w:rsid w:val="102263EF"/>
    <w:rsid w:val="10997F43"/>
    <w:rsid w:val="10DE7BAE"/>
    <w:rsid w:val="120774A3"/>
    <w:rsid w:val="12887761"/>
    <w:rsid w:val="14006D19"/>
    <w:rsid w:val="1481754F"/>
    <w:rsid w:val="148F32AB"/>
    <w:rsid w:val="148F5721"/>
    <w:rsid w:val="14AC57CD"/>
    <w:rsid w:val="15ED3E9B"/>
    <w:rsid w:val="164514BE"/>
    <w:rsid w:val="166B2EA9"/>
    <w:rsid w:val="16E73296"/>
    <w:rsid w:val="170F06AA"/>
    <w:rsid w:val="17225508"/>
    <w:rsid w:val="17B07FBC"/>
    <w:rsid w:val="180A6E32"/>
    <w:rsid w:val="183F2CD2"/>
    <w:rsid w:val="1856323E"/>
    <w:rsid w:val="18AF55E3"/>
    <w:rsid w:val="18B077E2"/>
    <w:rsid w:val="18B1519A"/>
    <w:rsid w:val="18CD0507"/>
    <w:rsid w:val="18F36BA5"/>
    <w:rsid w:val="195D7D48"/>
    <w:rsid w:val="1AD01A1B"/>
    <w:rsid w:val="1B61065A"/>
    <w:rsid w:val="1BBF3927"/>
    <w:rsid w:val="1C177B08"/>
    <w:rsid w:val="1C9001C6"/>
    <w:rsid w:val="1CBA2101"/>
    <w:rsid w:val="1D0573D7"/>
    <w:rsid w:val="1D153DC4"/>
    <w:rsid w:val="1D223E0B"/>
    <w:rsid w:val="1D317C9F"/>
    <w:rsid w:val="1E132F88"/>
    <w:rsid w:val="1E2867E9"/>
    <w:rsid w:val="1E853F6F"/>
    <w:rsid w:val="1E9C7BCC"/>
    <w:rsid w:val="1ECC1E3C"/>
    <w:rsid w:val="208364FC"/>
    <w:rsid w:val="208953F9"/>
    <w:rsid w:val="21014C39"/>
    <w:rsid w:val="21244EB1"/>
    <w:rsid w:val="213964D8"/>
    <w:rsid w:val="21595D04"/>
    <w:rsid w:val="21F13629"/>
    <w:rsid w:val="223236B6"/>
    <w:rsid w:val="2255462C"/>
    <w:rsid w:val="2305377E"/>
    <w:rsid w:val="23901822"/>
    <w:rsid w:val="24122135"/>
    <w:rsid w:val="24D4257E"/>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E014790"/>
    <w:rsid w:val="2EE77680"/>
    <w:rsid w:val="2F2F0FC8"/>
    <w:rsid w:val="2FA70460"/>
    <w:rsid w:val="30057FE3"/>
    <w:rsid w:val="301C6BB6"/>
    <w:rsid w:val="319708F2"/>
    <w:rsid w:val="31A8260E"/>
    <w:rsid w:val="31B14C9E"/>
    <w:rsid w:val="332B149D"/>
    <w:rsid w:val="33C522D7"/>
    <w:rsid w:val="344C156B"/>
    <w:rsid w:val="34807672"/>
    <w:rsid w:val="35B06C6A"/>
    <w:rsid w:val="366149EB"/>
    <w:rsid w:val="36941AA2"/>
    <w:rsid w:val="36D37423"/>
    <w:rsid w:val="379D23F9"/>
    <w:rsid w:val="3A185287"/>
    <w:rsid w:val="3A1F46B8"/>
    <w:rsid w:val="3A692CD0"/>
    <w:rsid w:val="3AAE4AA7"/>
    <w:rsid w:val="3AF23299"/>
    <w:rsid w:val="3B270929"/>
    <w:rsid w:val="3B3D5571"/>
    <w:rsid w:val="3B673620"/>
    <w:rsid w:val="3B9A1F29"/>
    <w:rsid w:val="3CE4646B"/>
    <w:rsid w:val="3CFC1228"/>
    <w:rsid w:val="3D5E7AA8"/>
    <w:rsid w:val="3D6F2596"/>
    <w:rsid w:val="3D946587"/>
    <w:rsid w:val="405F175E"/>
    <w:rsid w:val="40C765F3"/>
    <w:rsid w:val="42F869D2"/>
    <w:rsid w:val="43553536"/>
    <w:rsid w:val="44972678"/>
    <w:rsid w:val="451632B9"/>
    <w:rsid w:val="45906394"/>
    <w:rsid w:val="45F60A50"/>
    <w:rsid w:val="46142D0C"/>
    <w:rsid w:val="46263A53"/>
    <w:rsid w:val="46970A81"/>
    <w:rsid w:val="46B036BF"/>
    <w:rsid w:val="46CC320F"/>
    <w:rsid w:val="47282363"/>
    <w:rsid w:val="47810C98"/>
    <w:rsid w:val="47924F0A"/>
    <w:rsid w:val="48F407FD"/>
    <w:rsid w:val="49DC4EAC"/>
    <w:rsid w:val="49E55BC5"/>
    <w:rsid w:val="4A5D0BB5"/>
    <w:rsid w:val="4B600E77"/>
    <w:rsid w:val="4B8B4475"/>
    <w:rsid w:val="4B8F684D"/>
    <w:rsid w:val="4BF02011"/>
    <w:rsid w:val="4C1C63D6"/>
    <w:rsid w:val="4C2D52ED"/>
    <w:rsid w:val="4C864A35"/>
    <w:rsid w:val="4D207A05"/>
    <w:rsid w:val="4D53283E"/>
    <w:rsid w:val="4E015C76"/>
    <w:rsid w:val="4E310026"/>
    <w:rsid w:val="4E4A2325"/>
    <w:rsid w:val="4FC7362A"/>
    <w:rsid w:val="501A6C55"/>
    <w:rsid w:val="515B1740"/>
    <w:rsid w:val="51B14BED"/>
    <w:rsid w:val="52526454"/>
    <w:rsid w:val="525C1CEF"/>
    <w:rsid w:val="528B5767"/>
    <w:rsid w:val="52D33625"/>
    <w:rsid w:val="53A3105E"/>
    <w:rsid w:val="53C64B93"/>
    <w:rsid w:val="548A6C60"/>
    <w:rsid w:val="55B1164D"/>
    <w:rsid w:val="55B4735E"/>
    <w:rsid w:val="55BB221D"/>
    <w:rsid w:val="56371459"/>
    <w:rsid w:val="56484633"/>
    <w:rsid w:val="57FF4799"/>
    <w:rsid w:val="58D0053D"/>
    <w:rsid w:val="595A2A3C"/>
    <w:rsid w:val="598C40A0"/>
    <w:rsid w:val="59DA647E"/>
    <w:rsid w:val="5A556E1A"/>
    <w:rsid w:val="5BF92FF2"/>
    <w:rsid w:val="5C924E81"/>
    <w:rsid w:val="5E2864D0"/>
    <w:rsid w:val="5E494511"/>
    <w:rsid w:val="5EB44FC0"/>
    <w:rsid w:val="5FBA395F"/>
    <w:rsid w:val="60094E5C"/>
    <w:rsid w:val="606F38F4"/>
    <w:rsid w:val="60EC2CBA"/>
    <w:rsid w:val="61CC2D28"/>
    <w:rsid w:val="635902CD"/>
    <w:rsid w:val="64706BBE"/>
    <w:rsid w:val="64F2095B"/>
    <w:rsid w:val="65A16A49"/>
    <w:rsid w:val="67A858DB"/>
    <w:rsid w:val="67FE4166"/>
    <w:rsid w:val="68C401C3"/>
    <w:rsid w:val="69A833BD"/>
    <w:rsid w:val="69EF6835"/>
    <w:rsid w:val="6D566F0F"/>
    <w:rsid w:val="6D836F72"/>
    <w:rsid w:val="6DDE3DAF"/>
    <w:rsid w:val="6E3241BE"/>
    <w:rsid w:val="6EB97A9D"/>
    <w:rsid w:val="6EF10A90"/>
    <w:rsid w:val="6EFC7DED"/>
    <w:rsid w:val="6F2A7FBF"/>
    <w:rsid w:val="6FFF1868"/>
    <w:rsid w:val="715F4C2D"/>
    <w:rsid w:val="722F78FB"/>
    <w:rsid w:val="723C2F8E"/>
    <w:rsid w:val="723D67C5"/>
    <w:rsid w:val="726A5F44"/>
    <w:rsid w:val="72BF60CA"/>
    <w:rsid w:val="72F41282"/>
    <w:rsid w:val="733D0D32"/>
    <w:rsid w:val="73B76769"/>
    <w:rsid w:val="73D411F1"/>
    <w:rsid w:val="74A356B2"/>
    <w:rsid w:val="753811DE"/>
    <w:rsid w:val="75BE67D4"/>
    <w:rsid w:val="75C2004C"/>
    <w:rsid w:val="75C759C1"/>
    <w:rsid w:val="76281B03"/>
    <w:rsid w:val="762D64F3"/>
    <w:rsid w:val="762E20AD"/>
    <w:rsid w:val="767E7EFF"/>
    <w:rsid w:val="775B4604"/>
    <w:rsid w:val="77C067C3"/>
    <w:rsid w:val="77CF305F"/>
    <w:rsid w:val="78074939"/>
    <w:rsid w:val="78911E31"/>
    <w:rsid w:val="78F9732D"/>
    <w:rsid w:val="7922350F"/>
    <w:rsid w:val="792B5470"/>
    <w:rsid w:val="7A9367CB"/>
    <w:rsid w:val="7AF22571"/>
    <w:rsid w:val="7B0720CF"/>
    <w:rsid w:val="7B4C0E47"/>
    <w:rsid w:val="7B69224B"/>
    <w:rsid w:val="7BE80F25"/>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2022-11-07T14:33:47Z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